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spacing w:lineRule="auto" w:line="276"/>
        <w:jc w:val="center"/>
        <w:rPr>
          <w:rFonts w:cs="Calibri" w:cstheme="minorHAnsi"/>
          <w:b/>
          <w:b/>
          <w:caps/>
          <w:color w:val="1F3864" w:themeColor="accent1" w:themeShade="80"/>
          <w:sz w:val="36"/>
          <w:szCs w:val="20"/>
        </w:rPr>
      </w:pPr>
      <w:r>
        <w:rPr>
          <w:rFonts w:cs="Calibri" w:cstheme="minorHAnsi"/>
          <w:b/>
          <w:caps/>
          <w:color w:val="1F3864" w:themeColor="accent1" w:themeShade="80"/>
          <w:sz w:val="36"/>
          <w:szCs w:val="20"/>
        </w:rPr>
        <w:t>Informačná povinnosť prevádzkovateľa</w:t>
      </w:r>
    </w:p>
    <w:p>
      <w:pPr>
        <w:pStyle w:val="Normal"/>
        <w:spacing w:lineRule="auto" w:line="276"/>
        <w:jc w:val="center"/>
        <w:rPr/>
      </w:pPr>
      <w:r>
        <w:rPr>
          <w:rFonts w:cs="Calibri" w:cstheme="minorHAnsi"/>
          <w:color w:val="1F3864" w:themeColor="accent1" w:themeShade="80"/>
          <w:sz w:val="20"/>
          <w:szCs w:val="20"/>
        </w:rPr>
        <w:t>p</w:t>
      </w:r>
      <w:bookmarkStart w:id="0" w:name="_GoBack"/>
      <w:bookmarkEnd w:id="0"/>
      <w:r>
        <w:rPr>
          <w:rFonts w:cs="Calibri" w:cstheme="minorHAnsi"/>
          <w:color w:val="1F3864" w:themeColor="accent1" w:themeShade="80"/>
          <w:sz w:val="20"/>
          <w:szCs w:val="20"/>
        </w:rPr>
        <w:t>odľa článkov 13 a 14  nariadenia Európskeho parlamentu a Rady 2016/679 o ochrane fyzických osôb pri spracúvaní osobných údajov a o voľnom pohybe takýchto údajov, ktorým sa zrušuje smernica 95/46/ES (ďalej len „Nariadenie“)</w:t>
      </w:r>
    </w:p>
    <w:p>
      <w:pPr>
        <w:pStyle w:val="Normal"/>
        <w:spacing w:lineRule="auto" w:line="276" w:beforeAutospacing="1" w:afterAutospacing="1"/>
        <w:ind w:hanging="0"/>
        <w:jc w:val="left"/>
        <w:rPr/>
      </w:pPr>
      <w:r>
        <w:rPr>
          <w:rFonts w:eastAsia="Times New Roman" w:cs="Calibri" w:cstheme="minorHAnsi"/>
          <w:b/>
          <w:color w:val="000000" w:themeColor="text1"/>
          <w:spacing w:val="5"/>
          <w:sz w:val="20"/>
          <w:szCs w:val="20"/>
          <w:lang w:eastAsia="sk-SK"/>
        </w:rPr>
        <w:t>Prevádzkovateľom Informačného systému je:</w:t>
      </w:r>
    </w:p>
    <w:p>
      <w:pPr>
        <w:pStyle w:val="TableParagraph"/>
        <w:ind w:left="616" w:right="0" w:hanging="0"/>
        <w:jc w:val="left"/>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Happy Kids, o.z.</w:t>
      </w:r>
    </w:p>
    <w:p>
      <w:pPr>
        <w:pStyle w:val="TableParagraph"/>
        <w:spacing w:before="15" w:after="0"/>
        <w:ind w:left="616" w:right="0" w:hanging="0"/>
        <w:jc w:val="left"/>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Seberíniho 1</w:t>
      </w:r>
    </w:p>
    <w:p>
      <w:pPr>
        <w:pStyle w:val="TableParagraph"/>
        <w:spacing w:lineRule="auto" w:line="247" w:before="7" w:after="0"/>
        <w:ind w:left="616" w:right="2089" w:hanging="0"/>
        <w:jc w:val="left"/>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821 0</w:t>
      </w:r>
      <w:r>
        <w:rPr>
          <w:rFonts w:eastAsia="Times New Roman" w:cs="Calibri" w:cstheme="minorHAnsi"/>
          <w:color w:val="000000" w:themeColor="text1"/>
          <w:spacing w:val="5"/>
          <w:sz w:val="20"/>
          <w:szCs w:val="20"/>
          <w:lang w:eastAsia="sk-SK"/>
        </w:rPr>
        <w:t>3</w:t>
      </w:r>
      <w:r>
        <w:rPr>
          <w:rFonts w:eastAsia="Times New Roman" w:cs="Calibri" w:cstheme="minorHAnsi"/>
          <w:color w:val="000000" w:themeColor="text1"/>
          <w:spacing w:val="5"/>
          <w:sz w:val="20"/>
          <w:szCs w:val="20"/>
          <w:lang w:eastAsia="sk-SK"/>
        </w:rPr>
        <w:t xml:space="preserve"> Bratislava</w:t>
      </w:r>
    </w:p>
    <w:p>
      <w:pPr>
        <w:pStyle w:val="TableParagraph"/>
        <w:tabs>
          <w:tab w:val="clear" w:pos="708"/>
          <w:tab w:val="left" w:pos="2203" w:leader="none"/>
        </w:tabs>
        <w:spacing w:before="138" w:after="0"/>
        <w:ind w:left="616" w:right="0" w:hanging="0"/>
        <w:jc w:val="left"/>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IČO: 42151783</w:t>
      </w:r>
    </w:p>
    <w:p>
      <w:pPr>
        <w:pStyle w:val="TableParagraph"/>
        <w:tabs>
          <w:tab w:val="clear" w:pos="708"/>
          <w:tab w:val="left" w:pos="2203" w:leader="none"/>
        </w:tabs>
        <w:spacing w:lineRule="auto" w:line="276" w:before="25" w:after="0"/>
        <w:ind w:left="616" w:right="0" w:hanging="0"/>
        <w:jc w:val="left"/>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DIČ: 2023260668</w:t>
      </w:r>
    </w:p>
    <w:p>
      <w:pPr>
        <w:pStyle w:val="Normal"/>
        <w:spacing w:lineRule="auto" w:line="276" w:beforeAutospacing="1" w:afterAutospacing="1"/>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r>
    </w:p>
    <w:p>
      <w:pPr>
        <w:pStyle w:val="Normal"/>
        <w:numPr>
          <w:ilvl w:val="0"/>
          <w:numId w:val="1"/>
        </w:numPr>
        <w:spacing w:lineRule="auto" w:line="276" w:beforeAutospacing="1" w:after="0"/>
        <w:rPr/>
      </w:pPr>
      <w:r>
        <w:rPr>
          <w:rFonts w:eastAsia="Times New Roman" w:cs="Calibri" w:cstheme="minorHAnsi"/>
          <w:b/>
          <w:bCs/>
          <w:color w:val="000000" w:themeColor="text1"/>
          <w:spacing w:val="5"/>
          <w:sz w:val="20"/>
          <w:szCs w:val="20"/>
          <w:lang w:eastAsia="sk-SK"/>
        </w:rPr>
        <w:t>Účel spracúvania osobných údajo</w:t>
      </w:r>
      <w:r>
        <w:rPr>
          <w:rFonts w:eastAsia="Times New Roman" w:cs="Calibri" w:cstheme="minorHAnsi"/>
          <w:b/>
          <w:bCs/>
          <w:color w:val="000000" w:themeColor="text1"/>
          <w:spacing w:val="5"/>
          <w:sz w:val="20"/>
          <w:szCs w:val="20"/>
          <w:lang w:eastAsia="sk-SK"/>
        </w:rPr>
        <w:t xml:space="preserve">v: </w:t>
      </w:r>
      <w:r>
        <w:rPr>
          <w:rFonts w:eastAsia="Times New Roman" w:cs="Calibri" w:cstheme="minorHAnsi"/>
          <w:b/>
          <w:bCs/>
          <w:color w:val="000000" w:themeColor="text1"/>
          <w:spacing w:val="5"/>
          <w:sz w:val="20"/>
          <w:szCs w:val="20"/>
          <w:lang w:eastAsia="sk-SK"/>
        </w:rPr>
        <w:t>registrácia užívateľského konta a objednávanie kurzov pre deti a dospelých</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Zoznam spracúvaných osobných údajov: </w:t>
      </w:r>
    </w:p>
    <w:p>
      <w:pPr>
        <w:pStyle w:val="Normal"/>
        <w:numPr>
          <w:ilvl w:val="1"/>
          <w:numId w:val="1"/>
        </w:numPr>
        <w:spacing w:lineRule="auto" w:line="276" w:before="0" w:after="0"/>
        <w:rPr>
          <w:rFonts w:cstheme="minorHAnsi"/>
          <w:color w:themeColor="text1"/>
        </w:rPr>
      </w:pPr>
      <w:r>
        <w:rPr>
          <w:rFonts w:eastAsia="Times New Roman" w:cs="Calibri" w:cstheme="minorHAnsi"/>
          <w:color w:val="000000" w:themeColor="text1"/>
          <w:spacing w:val="5"/>
          <w:sz w:val="20"/>
          <w:szCs w:val="20"/>
          <w:lang w:eastAsia="sk-SK"/>
        </w:rPr>
        <w:t>meno a priezvisko</w:t>
      </w:r>
    </w:p>
    <w:p>
      <w:pPr>
        <w:pStyle w:val="Normal"/>
        <w:numPr>
          <w:ilvl w:val="1"/>
          <w:numId w:val="1"/>
        </w:numPr>
        <w:spacing w:lineRule="auto" w:line="276" w:before="0" w:after="0"/>
        <w:rPr>
          <w:rFonts w:cstheme="minorHAnsi"/>
          <w:color w:themeColor="text1"/>
        </w:rPr>
      </w:pPr>
      <w:r>
        <w:rPr>
          <w:rFonts w:eastAsia="Times New Roman" w:cs="Calibri" w:cstheme="minorHAnsi"/>
          <w:color w:val="000000" w:themeColor="text1"/>
          <w:spacing w:val="5"/>
          <w:sz w:val="20"/>
          <w:szCs w:val="20"/>
          <w:lang w:eastAsia="sk-SK"/>
        </w:rPr>
        <w:t>e-mailová adresa a kontaktná adresa</w:t>
      </w:r>
    </w:p>
    <w:p>
      <w:pPr>
        <w:pStyle w:val="Normal"/>
        <w:numPr>
          <w:ilvl w:val="1"/>
          <w:numId w:val="1"/>
        </w:numPr>
        <w:spacing w:lineRule="auto" w:line="276" w:before="0" w:after="0"/>
        <w:rPr>
          <w:rFonts w:eastAsia="Times New Roman" w:cs="Calibri" w:cstheme="minorHAnsi"/>
          <w:color w:val="000000" w:themeColor="text1"/>
          <w:spacing w:val="5"/>
          <w:sz w:val="20"/>
          <w:szCs w:val="20"/>
          <w:highlight w:val="yellow"/>
          <w:lang w:eastAsia="sk-SK"/>
        </w:rPr>
      </w:pPr>
      <w:r>
        <w:rPr>
          <w:rFonts w:eastAsia="Times New Roman" w:cs="Calibri" w:cstheme="minorHAnsi"/>
          <w:color w:val="000000" w:themeColor="text1"/>
          <w:spacing w:val="5"/>
          <w:sz w:val="20"/>
          <w:szCs w:val="20"/>
          <w:lang w:eastAsia="sk-SK"/>
        </w:rPr>
        <w:t>telefón</w:t>
      </w:r>
      <w:r>
        <w:rPr>
          <w:rFonts w:eastAsia="Times New Roman" w:cs="Calibri" w:cstheme="minorHAnsi"/>
          <w:color w:val="000000" w:themeColor="text1"/>
          <w:spacing w:val="5"/>
          <w:sz w:val="20"/>
          <w:szCs w:val="20"/>
          <w:highlight w:val="yellow"/>
          <w:lang w:eastAsia="sk-SK"/>
        </w:rPr>
        <w:br/>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color w:val="000000" w:themeColor="text1"/>
          <w:spacing w:val="5"/>
          <w:sz w:val="20"/>
          <w:szCs w:val="20"/>
          <w:lang w:eastAsia="sk-SK"/>
        </w:rPr>
        <w:t>Všetky údaje, ktoré dotknutá osoba na Stránke poskytne, sú uložené na zabezpečenom serveri. Oprávnené subjekty vyvinú maximálne úsilie na ochranu dát a osobných údajov dotknutých osôb.</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Totožnosť/príslušnosť oprávnenej osoby:</w:t>
      </w:r>
      <w:r>
        <w:rPr>
          <w:rFonts w:eastAsia="Times New Roman" w:cs="Calibri" w:cstheme="minorHAnsi"/>
          <w:color w:val="000000" w:themeColor="text1"/>
          <w:spacing w:val="5"/>
          <w:sz w:val="20"/>
          <w:szCs w:val="20"/>
          <w:lang w:eastAsia="sk-SK"/>
        </w:rPr>
        <w:t> Osobné údaje dotknutých osôb sú získavané prostredníctvom webového sídla.</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Poučenie o povinnosti alebo dobrovoľnosti poskytnúť požadované osobné údaje a čas platnosti súhlasu:</w:t>
      </w:r>
      <w:r>
        <w:rPr>
          <w:rFonts w:eastAsia="Times New Roman" w:cs="Calibri" w:cstheme="minorHAnsi"/>
          <w:color w:val="000000" w:themeColor="text1"/>
          <w:spacing w:val="5"/>
          <w:sz w:val="20"/>
          <w:szCs w:val="20"/>
          <w:lang w:eastAsia="sk-SK"/>
        </w:rPr>
        <w:t> osobné údaje dotknutá osoba do Informačného systému poskytuje dobrovoľne, a to na základe, predzmluvných vzťahov, keďže spracúvanie osobných údajov je nevyhnutné na plnenie kúpnej zmluvy v ktorej vystupuje klient ako jedna zo zmluvných strán. Čas platnosti súhlasu za účelom poskytnutia informácií je 5 rokov odo dňa poskytnutia súhlasu pričom dotknutá osoba má oprávnenie kedykoľvek svoj súhlas odvolať odvolať, a to písomnou formou na adresu sídla prevádzkovateľa alebo prostredníctvom emailu prevádzkovateľa.</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Spracovanie osobných údajov na marketingové účely:</w:t>
      </w:r>
      <w:r>
        <w:rPr>
          <w:rFonts w:eastAsia="Times New Roman" w:cs="Calibri" w:cstheme="minorHAnsi"/>
          <w:color w:val="000000" w:themeColor="text1"/>
          <w:spacing w:val="5"/>
          <w:sz w:val="20"/>
          <w:szCs w:val="20"/>
          <w:lang w:eastAsia="sk-SK"/>
        </w:rPr>
        <w:t> Prevádzkovateľ bude spracovávať osobné údaje dotknutej osoby na marketingové účely a  použije e-mailovú adresu dotknutej osoby za účelom zasielania noviniek (tzv. newsletterov).</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Forma zverejnenia:</w:t>
      </w:r>
      <w:r>
        <w:rPr>
          <w:rFonts w:eastAsia="Times New Roman" w:cs="Calibri" w:cstheme="minorHAnsi"/>
          <w:color w:val="000000" w:themeColor="text1"/>
          <w:spacing w:val="5"/>
          <w:sz w:val="20"/>
          <w:szCs w:val="20"/>
          <w:lang w:eastAsia="sk-SK"/>
        </w:rPr>
        <w:t> Osobné údaje dotknutých osôb sa nezverejňujú.</w:t>
      </w:r>
    </w:p>
    <w:p>
      <w:pPr>
        <w:pStyle w:val="Normal"/>
        <w:numPr>
          <w:ilvl w:val="0"/>
          <w:numId w:val="1"/>
        </w:numPr>
        <w:spacing w:lineRule="auto" w:line="276" w:before="0" w:after="0"/>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Tretie krajiny, ak sa predpokladá alebo je zrejmé, že sa do týchto krajín uskutoční prenos osobných údajov:</w:t>
      </w:r>
      <w:r>
        <w:rPr>
          <w:rFonts w:eastAsia="Times New Roman" w:cs="Calibri" w:cstheme="minorHAnsi"/>
          <w:color w:val="000000" w:themeColor="text1"/>
          <w:spacing w:val="5"/>
          <w:sz w:val="20"/>
          <w:szCs w:val="20"/>
          <w:lang w:eastAsia="sk-SK"/>
        </w:rPr>
        <w:t> Prenos osobných údajov do tretích krajín ani do krajín Európskej únie sa neuskutočňuje.</w:t>
      </w:r>
    </w:p>
    <w:p>
      <w:pPr>
        <w:pStyle w:val="Normal"/>
        <w:numPr>
          <w:ilvl w:val="0"/>
          <w:numId w:val="1"/>
        </w:numPr>
        <w:spacing w:lineRule="auto" w:line="276" w:before="0" w:afterAutospacing="1"/>
        <w:rPr>
          <w:rFonts w:eastAsia="Times New Roman" w:cs="Calibri" w:cstheme="minorHAnsi"/>
          <w:color w:val="000000" w:themeColor="text1"/>
          <w:spacing w:val="5"/>
          <w:sz w:val="20"/>
          <w:szCs w:val="20"/>
          <w:lang w:eastAsia="sk-SK"/>
        </w:rPr>
      </w:pPr>
      <w:r>
        <w:rPr>
          <w:rFonts w:eastAsia="Times New Roman" w:cs="Calibri" w:cstheme="minorHAnsi"/>
          <w:b/>
          <w:bCs/>
          <w:color w:val="000000" w:themeColor="text1"/>
          <w:spacing w:val="5"/>
          <w:sz w:val="20"/>
          <w:szCs w:val="20"/>
          <w:lang w:eastAsia="sk-SK"/>
        </w:rPr>
        <w:t>Poučenie o právach dotknutej osoby:</w:t>
      </w:r>
      <w:r>
        <w:rPr>
          <w:rFonts w:eastAsia="Times New Roman" w:cs="Calibri" w:cstheme="minorHAnsi"/>
          <w:color w:val="000000" w:themeColor="text1"/>
          <w:spacing w:val="5"/>
          <w:sz w:val="20"/>
          <w:szCs w:val="20"/>
          <w:lang w:eastAsia="sk-SK"/>
        </w:rPr>
        <w:t xml:space="preserve"> Prevádzkovateľ sa zaväzuje, že bude s osobnými údajmi dotknutých osôb zaobchádzať v súlade s platnými právnymi predpismi SR. </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Prevádzkovateľ v zmysle čl. 24 nariadenia GDPR a ust. § 31 Zákona pristúpil k prijatiu primeraných technických, organizačných, personálnych a bezpečnostných opatrení a záruk, ktoré zohľadňujú najmä:</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zásady nevyhnutnosti a primeranosti (vzťahuje sa aj na rozsah a množstvo spracúvaných osobných údajov, dobu uchovávania a prístup k osobným údajom dotknutej osoby) spracúvania osobných údajov s ohľadom na účel spracovateľskej operácie;</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povahu, rozsah, kontext a účel spracovateľskej operácie;</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odolnosť a obnovu systémov spracúvania osobných údajov;</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poučenia oprávnených osôb prevádzkovateľa;</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prijatie opatrení na bezodkladné zistenie, či došlo k porušeniu ochrany osobných údajov a promptné informovanie dozorného orgánu a zodpovednej osoby;</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prijatie opatrení na zabezpečenie opravy alebo vymazanie nesprávnych údajov, či realizáciu iných práv dotknutej osoby;</w:t>
      </w:r>
    </w:p>
    <w:p>
      <w:pPr>
        <w:pStyle w:val="ListParagraph"/>
        <w:numPr>
          <w:ilvl w:val="0"/>
          <w:numId w:val="2"/>
        </w:numPr>
        <w:spacing w:lineRule="auto" w:line="276"/>
        <w:rPr>
          <w:rFonts w:cs="Calibri" w:cstheme="minorHAnsi"/>
          <w:color w:val="000000" w:themeColor="text1"/>
          <w:sz w:val="20"/>
          <w:szCs w:val="20"/>
        </w:rPr>
      </w:pPr>
      <w:r>
        <w:rPr>
          <w:rFonts w:cs="Calibri" w:cstheme="minorHAnsi"/>
          <w:color w:val="000000" w:themeColor="text1"/>
          <w:sz w:val="20"/>
          <w:szCs w:val="20"/>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rPr>
          <w:rFonts w:cs="Calibri" w:cstheme="minorHAnsi"/>
          <w:b/>
          <w:b/>
          <w:color w:val="000000" w:themeColor="text1"/>
          <w:sz w:val="20"/>
          <w:szCs w:val="20"/>
          <w:u w:val="single"/>
        </w:rPr>
      </w:pPr>
      <w:r>
        <w:rPr>
          <w:rFonts w:cs="Calibri" w:cstheme="minorHAnsi"/>
          <w:b/>
          <w:color w:val="000000" w:themeColor="text1"/>
          <w:sz w:val="20"/>
          <w:szCs w:val="20"/>
          <w:u w:val="single"/>
        </w:rPr>
        <w:t>Informácie o účele spracúvania a dobe uchovávania osobných údajov</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 </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br/>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u w:val="single"/>
          <w:lang w:eastAsia="sk-SK"/>
        </w:rPr>
        <w:t>Súbory cookies:</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Cookies sú malé textové súbory, ktoré sa vám uložia do počítača alebo vášho mobilného zariadenia (tablet či telefón) pri návšteve internetovej stránky. Súbory sa ukladajú do priečinku vo vašom prehliadači, obsahujú názov webovej stránky, z ktorej pochádzajú, platnosť a nejaký obsah (zväčša čísla a písmenká). Pri nasledujúcej návšteve tejto istej stránky prehliadač pošle informácie, ktoré sú uložené v súboroch cookies naspäť na stránku, ktorá súbory pôvodne vytvorila.</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Internetová stránka vďaka tomu vie, že ste už našu stránku navštívili. Cookies vám môžu uľahčiť používanie stránky, stránka si napríklad zapamätá, že ste prihlásení pod svojou prezývkou a pri nasledujúcom načítaní nemusíte znova zadávať svoje prihlasovacie údaje. Používame dočasné a trvalé cookies, dočasné sa uchovávajú vo vašom zariadení kým nezavriete stránku. Naopak trvalé cookies zostávajú vo vašom zariadení do uplynutia svojej platnosti (napr. pár týždňov, mesiacov) alebo dokým ich ručne nevymažete.</w:t>
      </w:r>
    </w:p>
    <w:p>
      <w:pPr>
        <w:pStyle w:val="Normal"/>
        <w:spacing w:lineRule="auto" w:line="276"/>
        <w:textAlignment w:val="baseline"/>
        <w:rPr>
          <w:rFonts w:eastAsia="Times New Roman" w:cs="Calibri" w:cstheme="minorHAnsi"/>
          <w:b/>
          <w:b/>
          <w:bCs/>
          <w:color w:val="000000" w:themeColor="text1"/>
          <w:sz w:val="20"/>
          <w:szCs w:val="20"/>
          <w:lang w:eastAsia="sk-SK"/>
        </w:rPr>
      </w:pPr>
      <w:r>
        <w:rPr>
          <w:rFonts w:eastAsia="Times New Roman" w:cs="Calibri" w:cstheme="minorHAnsi"/>
          <w:b/>
          <w:bCs/>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Prečo Prevádzkovateľ používa cookies?</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Cookies používame, aby sme vám uľahčili používanie našej stránky. Používame vlastné cookies ako aj cookies tretích strán ako napr. cookies od spoločnosti Google.</w:t>
      </w:r>
    </w:p>
    <w:p>
      <w:pPr>
        <w:pStyle w:val="Normal"/>
        <w:spacing w:lineRule="auto" w:line="276"/>
        <w:textAlignment w:val="baseline"/>
        <w:rPr>
          <w:rFonts w:eastAsia="Times New Roman" w:cs="Calibri" w:cstheme="minorHAnsi"/>
          <w:b/>
          <w:b/>
          <w:bCs/>
          <w:color w:val="000000" w:themeColor="text1"/>
          <w:sz w:val="20"/>
          <w:szCs w:val="20"/>
          <w:lang w:eastAsia="sk-SK"/>
        </w:rPr>
      </w:pPr>
      <w:r>
        <w:rPr>
          <w:rFonts w:eastAsia="Times New Roman" w:cs="Calibri" w:cstheme="minorHAnsi"/>
          <w:b/>
          <w:bCs/>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Základné a prevádzkové cookies Prevádzkovateľ</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Tieto súbory využíva Prevádzkovateľ na zapamätanie si prihlásenia do Prevádzkovateľ.sk a ďalších pridružených webov, aby ste nemuseli vypĺňať prihlasovací formulár s prezývkou a heslom pri každom otvorení stránky. Ak tieto cookies zakážete nebudete sa môcť prihlásiť do svojho konta, nebudete môcť pridávať obsah a ani písať diskusné komentáre, keďže bez povolenia cookies to technicky nebude možné.</w:t>
      </w:r>
    </w:p>
    <w:p>
      <w:pPr>
        <w:pStyle w:val="Normal"/>
        <w:spacing w:lineRule="auto" w:line="276"/>
        <w:textAlignment w:val="baseline"/>
        <w:rPr>
          <w:rFonts w:eastAsia="Times New Roman" w:cs="Calibri" w:cstheme="minorHAnsi"/>
          <w:b/>
          <w:b/>
          <w:bCs/>
          <w:color w:val="000000" w:themeColor="text1"/>
          <w:sz w:val="20"/>
          <w:szCs w:val="20"/>
          <w:lang w:eastAsia="sk-SK"/>
        </w:rPr>
      </w:pPr>
      <w:r>
        <w:rPr>
          <w:rFonts w:eastAsia="Times New Roman" w:cs="Calibri" w:cstheme="minorHAnsi"/>
          <w:b/>
          <w:bCs/>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Cookies tretích strán</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Prevádzkovateľ.sk využíva vo svojich stránkach služby tretích strán ako napr. nástroje na meranie návštevnosti cez systémy Google Analytics. Prevádzkovateľ pre využitie týchto služieb načítava kódy tretích strán, ktoré pre plnú funkčnosť môžu vyžadovať ukladanie cookies. Toto má za svoj následok prijatie cookies od týchto stránok tretích strán. Spoločnosť Prevádzkovateľ s.r.o., ako prevádzkovateľ stránky Prevádzkovateľ.sk nemá možnosť ovplyvniť ukladanie týchto cookies tretích strán, ak máte záujem prečítať si bližšie informácie o cookies týchto služieb, prosím, navštívte príslušné služby a prečítajte si ich zásady ochrany súkromia alebo pravidlá používania služby.</w:t>
      </w:r>
    </w:p>
    <w:p>
      <w:pPr>
        <w:pStyle w:val="Normal"/>
        <w:spacing w:lineRule="auto" w:line="276"/>
        <w:textAlignment w:val="baseline"/>
        <w:rPr>
          <w:rFonts w:eastAsia="Times New Roman" w:cs="Calibri" w:cstheme="minorHAnsi"/>
          <w:b/>
          <w:b/>
          <w:bCs/>
          <w:color w:val="000000" w:themeColor="text1"/>
          <w:sz w:val="20"/>
          <w:szCs w:val="20"/>
          <w:lang w:eastAsia="sk-SK"/>
        </w:rPr>
      </w:pPr>
      <w:r>
        <w:rPr>
          <w:rFonts w:eastAsia="Times New Roman" w:cs="Calibri" w:cstheme="minorHAnsi"/>
          <w:b/>
          <w:bCs/>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Ako si môžem upraviť cookies v mojom prehliadači?</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Otvorte si nastavenia svojho prehliadača (Mozilla Firefox, Google Chrome, Internet Explorer, Safari či Internet Explorer) a nájdite v nich lištu s nastaveniami súkromia a v nej súbory cookies. Tu si viete prezrieť, aké súbory cookies vo svojom zariadení máte, môžete ich manuálne alebo hromadne vymazať. Podrobnejšie inštrukcie nájdete v nápovede každého z týchto prehliadačov.</w:t>
      </w:r>
    </w:p>
    <w:p>
      <w:pPr>
        <w:pStyle w:val="Normal"/>
        <w:spacing w:lineRule="auto" w:line="276"/>
        <w:textAlignment w:val="baseline"/>
        <w:rPr>
          <w:rFonts w:eastAsia="Times New Roman" w:cs="Calibri" w:cstheme="minorHAnsi"/>
          <w:b/>
          <w:b/>
          <w:bCs/>
          <w:color w:val="000000" w:themeColor="text1"/>
          <w:sz w:val="20"/>
          <w:szCs w:val="20"/>
          <w:lang w:eastAsia="sk-SK"/>
        </w:rPr>
      </w:pPr>
      <w:r>
        <w:rPr>
          <w:rFonts w:eastAsia="Times New Roman" w:cs="Calibri" w:cstheme="minorHAnsi"/>
          <w:b/>
          <w:bCs/>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Môžem zablokovať ukladanie cookies?</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Vo svojom prehliadači môžete v nastaveniach prehliadača zakázať automatické akceptovanie súborov cookies. Návod a inštrukcie nájdete v nápovede svojho internetového prehliadača. Ak používate viac zariadení (napr. počítač, tablet, telefón) odporúčame prispôsobiť si používanie cookies v každom z týchto zariadení zvlášť podľa svojich preferencií.</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Prevádzkovateľ rešpektuje vaše rozhodnutie o akceptácií cookies vo vašom prehliadači. Vypnutie cookies však môže mať dopad na funkčnosť tejto webovej stránky.</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b/>
          <w:bCs/>
          <w:color w:val="000000" w:themeColor="text1"/>
          <w:sz w:val="20"/>
          <w:szCs w:val="20"/>
          <w:lang w:eastAsia="sk-SK"/>
        </w:rPr>
        <w:t>Vložený obsah z iných webových stránok</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Články na tejto webovej stránke môžu obsahovať vložený obsah (napr. videá, obrázky, články a podobne). Vložený obsah z iných stránok sa chová rovnako, akoby návštevník navštívil inú webovú stránku.</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t>Tieto webové stránky môžu o vás zbierať osobné údaje, používať súbory cookies, vkladať treťo-stranné sledovanie a monitorovať vašu interakciu s vloženým obsahom, vráatane sledovania vašej interakcie s vloženým obsahom, ak na danej webovej stránke máte účet a ste prihlásený.</w:t>
      </w:r>
    </w:p>
    <w:p>
      <w:pPr>
        <w:pStyle w:val="Normal"/>
        <w:spacing w:lineRule="auto" w:line="276"/>
        <w:textAlignment w:val="baseline"/>
        <w:rPr>
          <w:rFonts w:eastAsia="Times New Roman" w:cs="Calibri" w:cstheme="minorHAnsi"/>
          <w:color w:val="000000" w:themeColor="text1"/>
          <w:sz w:val="20"/>
          <w:szCs w:val="20"/>
          <w:lang w:eastAsia="sk-SK"/>
        </w:rPr>
      </w:pPr>
      <w:r>
        <w:rPr>
          <w:rFonts w:eastAsia="Times New Roman" w:cs="Calibri" w:cstheme="minorHAnsi"/>
          <w:color w:val="000000" w:themeColor="text1"/>
          <w:sz w:val="20"/>
          <w:szCs w:val="20"/>
          <w:lang w:eastAsia="sk-SK"/>
        </w:rPr>
      </w:r>
    </w:p>
    <w:p>
      <w:pPr>
        <w:pStyle w:val="Normal"/>
        <w:spacing w:lineRule="auto" w:line="276" w:before="0" w:after="40"/>
        <w:rPr>
          <w:rFonts w:cs="Calibri" w:cstheme="minorHAnsi"/>
          <w:b/>
          <w:b/>
          <w:bCs/>
          <w:color w:val="000000" w:themeColor="text1"/>
          <w:sz w:val="20"/>
          <w:szCs w:val="20"/>
          <w:u w:val="single"/>
        </w:rPr>
      </w:pPr>
      <w:r>
        <w:rPr>
          <w:rFonts w:cs="Calibri" w:cstheme="minorHAnsi"/>
          <w:b/>
          <w:bCs/>
          <w:color w:val="000000" w:themeColor="text1"/>
          <w:sz w:val="20"/>
          <w:szCs w:val="20"/>
          <w:u w:val="single"/>
        </w:rPr>
        <w:t>Informácia o oprávnenom zaujme pre marketing:</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 xml:space="preserve">Naša spoločnosť vykonáva  posúdenie proporcionality oprávneného záujmu na spracúvaní osobných údajov vo vzťahu k záujmom a základným právam a slobodám dotknutých osôb a vo vzťahu k primeranému očakávaniu dotknutých osôb. Toto Posúdenie sa týka informačného systému marketingu - zasielania noviniek. </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 xml:space="preserve">Spracúvame hlavne kontaktné údaje a to e-mail a telefón. Oprávneným záujmom Prevádzkovateľa na spracúvanie osobných údajov v IS je informovanie klienta o zmenách a novinkách v spoločnosti. Prevádzkovateľ považuje spracúvanie osobných údajov na uvedený účel za nevyhnutné, nakoľko sú údaje potrebné aj pri informovaní klientov o dôležitých informáciách ako je zmena rozvrhu otváracích hodín napríklad. </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 xml:space="preserve">Prevádzkovateľ po dôkladnom preskúmaní proporcionality oprávneného záujmu má za to, že základné práva a slobody dotknutých osôb neprevyšujú nad oprávnenými záujmami prevádzkovateľa. </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Prevádzkovateľ si plní všetky svoje právom EÚ a Členského Štátu stanovené povinnosti, prijal primerané technické a organizačné opatrenia a náležite preskúmal proporcionalitu oprávneného záujmu vo vzťahu k právam, slobodám a primeraným očakávaniam dotknutých osôb.</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t>Z vyššie uvedeného vyplýva, že Prevádzkovateľ spracúva osobné údaje v IS pre účely, ktoré sú vo vzťahu k právam dotknutých osôb proporcionálne.</w:t>
      </w:r>
    </w:p>
    <w:p>
      <w:pPr>
        <w:pStyle w:val="Normal"/>
        <w:spacing w:lineRule="auto" w:line="276"/>
        <w:rPr>
          <w:rFonts w:cs="Calibri" w:cstheme="minorHAnsi"/>
          <w:color w:val="000000" w:themeColor="text1"/>
          <w:sz w:val="20"/>
          <w:szCs w:val="20"/>
        </w:rPr>
      </w:pPr>
      <w:r>
        <w:rPr>
          <w:rFonts w:cs="Calibri" w:cstheme="minorHAnsi"/>
          <w:color w:val="000000" w:themeColor="text1"/>
          <w:sz w:val="20"/>
          <w:szCs w:val="20"/>
        </w:rPr>
      </w:r>
    </w:p>
    <w:p>
      <w:pPr>
        <w:pStyle w:val="Normal"/>
        <w:spacing w:lineRule="auto" w:line="276"/>
        <w:jc w:val="both"/>
        <w:rPr>
          <w:rFonts w:cs="Calibri" w:cstheme="minorHAnsi"/>
          <w:b/>
          <w:b/>
          <w:color w:val="000000" w:themeColor="text1"/>
          <w:sz w:val="20"/>
          <w:szCs w:val="20"/>
          <w:u w:val="single"/>
        </w:rPr>
      </w:pPr>
      <w:r>
        <w:rPr>
          <w:rFonts w:cs="Calibri" w:cstheme="minorHAnsi"/>
          <w:b/>
          <w:color w:val="000000" w:themeColor="text1"/>
          <w:sz w:val="20"/>
          <w:szCs w:val="20"/>
          <w:u w:val="single"/>
        </w:rPr>
        <w:t>Práva dotknutej osoby:</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na prístup k osobným údajom, ktoré sa jej týkajú,</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na opravu nesprávnych osobných údajov, ktoré sa jej týkajú,</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výmaz osobných údajov, ktoré sa jej týkajú,</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na obmedzenie spracúvania osobných údajov,</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namietať proti spracúvaniu osobných údajov, ktoré sa jej týka,</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na prenosnosť osobných údajov,</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kedykoľvek odvolať svoj udelený súhlas na spracúvanie osobných údajov,</w:t>
      </w:r>
    </w:p>
    <w:p>
      <w:pPr>
        <w:pStyle w:val="ListParagraph"/>
        <w:numPr>
          <w:ilvl w:val="0"/>
          <w:numId w:val="3"/>
        </w:numPr>
        <w:spacing w:lineRule="auto" w:line="276"/>
        <w:jc w:val="both"/>
        <w:rPr>
          <w:rFonts w:cs="Calibri" w:cstheme="minorHAnsi"/>
          <w:color w:val="000000" w:themeColor="text1"/>
          <w:sz w:val="20"/>
          <w:szCs w:val="20"/>
        </w:rPr>
      </w:pPr>
      <w:r>
        <w:rPr>
          <w:rFonts w:cs="Calibri" w:cstheme="minorHAnsi"/>
          <w:color w:val="000000" w:themeColor="text1"/>
          <w:sz w:val="20"/>
          <w:szCs w:val="20"/>
        </w:rPr>
        <w:t>právo podať sťažnosť dozornému orgánu.</w:t>
      </w:r>
    </w:p>
    <w:p>
      <w:pPr>
        <w:pStyle w:val="Normal"/>
        <w:spacing w:lineRule="auto" w:line="276"/>
        <w:jc w:val="both"/>
        <w:rPr>
          <w:rFonts w:cs="Calibri" w:cstheme="minorHAnsi"/>
          <w:color w:val="000000" w:themeColor="text1"/>
          <w:sz w:val="20"/>
          <w:szCs w:val="20"/>
          <w:u w:val="single"/>
        </w:rPr>
      </w:pPr>
      <w:r>
        <w:rPr>
          <w:rFonts w:cs="Calibri" w:cstheme="minorHAnsi"/>
          <w:color w:val="000000" w:themeColor="text1"/>
          <w:sz w:val="20"/>
          <w:szCs w:val="20"/>
          <w:u w:val="single"/>
        </w:rPr>
      </w:r>
    </w:p>
    <w:p>
      <w:pPr>
        <w:pStyle w:val="Normal"/>
        <w:spacing w:lineRule="auto" w:line="276"/>
        <w:jc w:val="both"/>
        <w:rPr/>
      </w:pPr>
      <w:r>
        <w:rPr>
          <w:rFonts w:cs="Calibri" w:cstheme="minorHAnsi"/>
          <w:i/>
          <w:color w:val="000000" w:themeColor="text1"/>
          <w:sz w:val="20"/>
          <w:szCs w:val="20"/>
        </w:rPr>
        <w:t>Vyššie uvedené práva má dotknutá osoba v rozsahu podľa článkov 15 až 21 a článku 77 Nariadenia. Dotknutá osoba  si môže uplatniť svoje práva ústne, písomne alebo elektronicky, cez vyššie uvedené kontaktné údaje. Ak dotknutá osoba požiada o ústne poskytnutie informácií, informácie sa poskytnú po preukázaní jej totožnosti.</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k-SK"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sk-SK" w:eastAsia="en-US" w:bidi="ar-SA"/>
    </w:rPr>
  </w:style>
  <w:style w:type="paragraph" w:styleId="Nadpis1">
    <w:name w:val="Heading 1"/>
    <w:basedOn w:val="Normal"/>
    <w:link w:val="Nadpis1Char"/>
    <w:uiPriority w:val="9"/>
    <w:qFormat/>
    <w:rsid w:val="00596702"/>
    <w:pPr>
      <w:spacing w:beforeAutospacing="1" w:afterAutospacing="1"/>
      <w:outlineLvl w:val="0"/>
    </w:pPr>
    <w:rPr>
      <w:rFonts w:ascii="Times New Roman" w:hAnsi="Times New Roman" w:eastAsia="Times New Roman" w:cs="Times New Roman"/>
      <w:b/>
      <w:bCs/>
      <w:kern w:val="2"/>
      <w:sz w:val="48"/>
      <w:szCs w:val="48"/>
      <w:lang w:eastAsia="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596702"/>
    <w:rPr>
      <w:rFonts w:ascii="Times New Roman" w:hAnsi="Times New Roman" w:eastAsia="Times New Roman" w:cs="Times New Roman"/>
      <w:b/>
      <w:bCs/>
      <w:kern w:val="2"/>
      <w:sz w:val="48"/>
      <w:szCs w:val="48"/>
      <w:lang w:eastAsia="sk-SK"/>
    </w:rPr>
  </w:style>
  <w:style w:type="character" w:styleId="Internetovodkaz">
    <w:name w:val="Internetový odkaz"/>
    <w:basedOn w:val="DefaultParagraphFont"/>
    <w:uiPriority w:val="99"/>
    <w:semiHidden/>
    <w:unhideWhenUsed/>
    <w:rsid w:val="00596702"/>
    <w:rPr>
      <w:color w:val="0000FF"/>
      <w:u w:val="single"/>
    </w:rPr>
  </w:style>
  <w:style w:type="character" w:styleId="Appleconvertedspace" w:customStyle="1">
    <w:name w:val="apple-converted-space"/>
    <w:basedOn w:val="DefaultParagraphFont"/>
    <w:qFormat/>
    <w:rsid w:val="00596702"/>
    <w:rPr/>
  </w:style>
  <w:style w:type="character" w:styleId="Strong">
    <w:name w:val="Strong"/>
    <w:basedOn w:val="DefaultParagraphFont"/>
    <w:uiPriority w:val="22"/>
    <w:qFormat/>
    <w:rsid w:val="00596702"/>
    <w:rPr>
      <w:b/>
      <w:bCs/>
    </w:rPr>
  </w:style>
  <w:style w:type="character" w:styleId="HlavikaChar" w:customStyle="1">
    <w:name w:val="Hlavička Char"/>
    <w:basedOn w:val="DefaultParagraphFont"/>
    <w:link w:val="Hlavika"/>
    <w:uiPriority w:val="99"/>
    <w:qFormat/>
    <w:rsid w:val="00672cb3"/>
    <w:rPr/>
  </w:style>
  <w:style w:type="character" w:styleId="PtaChar" w:customStyle="1">
    <w:name w:val="Päta Char"/>
    <w:basedOn w:val="DefaultParagraphFont"/>
    <w:link w:val="Pta"/>
    <w:uiPriority w:val="99"/>
    <w:qFormat/>
    <w:rsid w:val="00672cb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center" w:customStyle="1">
    <w:name w:val="text-center"/>
    <w:basedOn w:val="Normal"/>
    <w:qFormat/>
    <w:rsid w:val="00596702"/>
    <w:pPr>
      <w:spacing w:beforeAutospacing="1" w:afterAutospacing="1"/>
    </w:pPr>
    <w:rPr>
      <w:rFonts w:ascii="Times New Roman" w:hAnsi="Times New Roman" w:eastAsia="Times New Roman" w:cs="Times New Roman"/>
      <w:lang w:eastAsia="sk-SK"/>
    </w:rPr>
  </w:style>
  <w:style w:type="paragraph" w:styleId="NormalWeb">
    <w:name w:val="Normal (Web)"/>
    <w:basedOn w:val="Normal"/>
    <w:uiPriority w:val="99"/>
    <w:semiHidden/>
    <w:unhideWhenUsed/>
    <w:qFormat/>
    <w:rsid w:val="00596702"/>
    <w:pPr>
      <w:spacing w:beforeAutospacing="1" w:afterAutospacing="1"/>
    </w:pPr>
    <w:rPr>
      <w:rFonts w:ascii="Times New Roman" w:hAnsi="Times New Roman" w:eastAsia="Times New Roman" w:cs="Times New Roman"/>
      <w:lang w:eastAsia="sk-SK"/>
    </w:rPr>
  </w:style>
  <w:style w:type="paragraph" w:styleId="ListParagraph">
    <w:name w:val="List Paragraph"/>
    <w:basedOn w:val="Normal"/>
    <w:uiPriority w:val="34"/>
    <w:qFormat/>
    <w:rsid w:val="00596702"/>
    <w:pPr>
      <w:spacing w:before="0" w:after="0"/>
      <w:ind w:left="720" w:hanging="0"/>
      <w:contextualSpacing/>
    </w:pPr>
    <w:rPr/>
  </w:style>
  <w:style w:type="paragraph" w:styleId="A3p1" w:customStyle="1">
    <w:name w:val="a3_p1"/>
    <w:basedOn w:val="Normal"/>
    <w:qFormat/>
    <w:rsid w:val="002a1631"/>
    <w:pPr>
      <w:spacing w:beforeAutospacing="1" w:afterAutospacing="1"/>
    </w:pPr>
    <w:rPr>
      <w:rFonts w:ascii="Times New Roman" w:hAnsi="Times New Roman" w:eastAsia="Times New Roman" w:cs="Times New Roman"/>
      <w:lang w:eastAsia="sk-SK"/>
    </w:rPr>
  </w:style>
  <w:style w:type="paragraph" w:styleId="Hlavika">
    <w:name w:val="Header"/>
    <w:basedOn w:val="Normal"/>
    <w:link w:val="HlavikaChar"/>
    <w:uiPriority w:val="99"/>
    <w:unhideWhenUsed/>
    <w:rsid w:val="00672cb3"/>
    <w:pPr>
      <w:tabs>
        <w:tab w:val="clear" w:pos="708"/>
        <w:tab w:val="center" w:pos="4536" w:leader="none"/>
        <w:tab w:val="right" w:pos="9072" w:leader="none"/>
      </w:tabs>
    </w:pPr>
    <w:rPr/>
  </w:style>
  <w:style w:type="paragraph" w:styleId="Pta">
    <w:name w:val="Footer"/>
    <w:basedOn w:val="Normal"/>
    <w:link w:val="PtaChar"/>
    <w:uiPriority w:val="99"/>
    <w:unhideWhenUsed/>
    <w:rsid w:val="00672cb3"/>
    <w:pPr>
      <w:tabs>
        <w:tab w:val="clear" w:pos="708"/>
        <w:tab w:val="center" w:pos="4536" w:leader="none"/>
        <w:tab w:val="right" w:pos="9072" w:leader="none"/>
      </w:tabs>
    </w:pPr>
    <w:rPr/>
  </w:style>
  <w:style w:type="paragraph" w:styleId="TableParagraph">
    <w:name w:val="Table Paragraph"/>
    <w:basedOn w:val="Normal"/>
    <w:qFormat/>
    <w:pPr/>
    <w:rPr>
      <w:rFonts w:ascii="Arial" w:hAnsi="Arial" w:eastAsia="Arial"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LibreOffice/6.1.4.2$Windows_x86 LibreOffice_project/9d0f32d1f0b509096fd65e0d4bec26ddd1938fd3</Application>
  <Pages>3</Pages>
  <Words>1588</Words>
  <Characters>9869</Characters>
  <CharactersWithSpaces>11377</CharactersWithSpaces>
  <Paragraphs>68</Paragraphs>
  <Company>Webpomoc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2018-10-18T10:06:00Z</dcterms:created>
  <dc:creator>Peter Jurák</dc:creator>
  <dc:description/>
  <dc:language>sk-SK</dc:language>
  <cp:lastModifiedBy/>
  <dcterms:modified xsi:type="dcterms:W3CDTF">2019-12-11T12:03:24Z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Webpomoc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